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367-2003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№2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 судебного участка №3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(628301,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-н, дом 30), рассмотрев в открытом судебном заседании дело об административном правонарушении в отношении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Владимировича, </w:t>
      </w:r>
      <w:r>
        <w:rPr>
          <w:rStyle w:val="cat-ExternalSystemDefinedgrp-3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5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4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4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01:</w:t>
      </w:r>
      <w:r>
        <w:rPr>
          <w:rStyle w:val="cat-UserDefinedgrp-30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ст. 12.15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</w:t>
      </w:r>
    </w:p>
    <w:p>
      <w:pPr>
        <w:spacing w:before="0" w:after="1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 в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на </w:t>
      </w:r>
      <w:r>
        <w:rPr>
          <w:rFonts w:ascii="Times New Roman" w:eastAsia="Times New Roman" w:hAnsi="Times New Roman" w:cs="Times New Roman"/>
          <w:sz w:val="28"/>
          <w:szCs w:val="28"/>
        </w:rPr>
        <w:t>671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Р-404 </w:t>
      </w:r>
      <w:r>
        <w:rPr>
          <w:rFonts w:ascii="Times New Roman" w:eastAsia="Times New Roman" w:hAnsi="Times New Roman" w:cs="Times New Roman"/>
          <w:sz w:val="28"/>
          <w:szCs w:val="28"/>
        </w:rPr>
        <w:t>Тюмень –Ханты-Мансийск,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Ляш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транспортным средством </w:t>
      </w:r>
      <w:r>
        <w:rPr>
          <w:rStyle w:val="cat-CarMakeModelgrp-28rplc-2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9rplc-2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совершении обгона движущегося впереди транспортного средства, выехал на полосу дороги, предназначенную для встречного движения в зоне действия дорожного знака 3.20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«Обгон запрещен»,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ПДД </w:t>
      </w:r>
      <w:r>
        <w:rPr>
          <w:rStyle w:val="cat-ExternalSystemDefinedgrp-38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Ляш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вину в совершении правонарушения признал в полном объеме.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пояснил, что нарушение совершил не умышленно.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Ляша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Ляша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Style w:val="cat-UserDefinedgrp-42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06.02.2024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06 февраля 2024 года в 17 час. 49 мин. на 671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а/д Р-404 Тюмень –Ханты-Мансийск,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Ляш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А.В., управляя транспортным средством </w:t>
      </w:r>
      <w:r>
        <w:rPr>
          <w:rStyle w:val="cat-CarMakeModelgrp-28rplc-34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9rplc-3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при совершении обгона движущегося впереди транспортного средства, выехал на полосу дороги, предназначенную для встречного движения в зоне действия дорожного знака 3.20 «Обгон запр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ещен», чем нарушил п.1.3 ПДД </w:t>
      </w:r>
      <w:r>
        <w:rPr>
          <w:rStyle w:val="cat-ExternalSystemDefinedgrp-38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составлении протокола, </w:t>
      </w:r>
      <w:r>
        <w:rPr>
          <w:rFonts w:ascii="Times New Roman" w:eastAsia="Times New Roman" w:hAnsi="Times New Roman" w:cs="Times New Roman"/>
          <w:sz w:val="28"/>
          <w:szCs w:val="28"/>
        </w:rPr>
        <w:t>Ляшу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разъяснены положения ст.25.1 КоАП </w:t>
      </w:r>
      <w:r>
        <w:rPr>
          <w:rStyle w:val="cat-ExternalSystemDefinedgrp-38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ст. 51 Конституции </w:t>
      </w:r>
      <w:r>
        <w:rPr>
          <w:rStyle w:val="cat-ExternalSystemDefinedgrp-38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протокола вручена,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чем </w:t>
      </w:r>
      <w:r>
        <w:rPr>
          <w:rFonts w:ascii="Times New Roman" w:eastAsia="Times New Roman" w:hAnsi="Times New Roman" w:cs="Times New Roman"/>
          <w:sz w:val="28"/>
          <w:szCs w:val="28"/>
        </w:rPr>
        <w:t>Ляш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 расписался в с</w:t>
      </w:r>
      <w:r>
        <w:rPr>
          <w:rFonts w:ascii="Times New Roman" w:eastAsia="Times New Roman" w:hAnsi="Times New Roman" w:cs="Times New Roman"/>
          <w:sz w:val="28"/>
          <w:szCs w:val="28"/>
        </w:rPr>
        <w:t>оответствующих графах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</w:rPr>
        <w:t>протокле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Ляш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указал – допустил выезд на полосу встречного движения в зоне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знака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как не увидел знак из-за колонны встречного транспорта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схемой места совершения административного правонарушения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06.02.2024.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Ляш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схемой ознакомлен;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схемой </w:t>
      </w:r>
      <w:r>
        <w:rPr>
          <w:rFonts w:ascii="Times New Roman" w:eastAsia="Times New Roman" w:hAnsi="Times New Roman" w:cs="Times New Roman"/>
          <w:sz w:val="28"/>
          <w:szCs w:val="28"/>
        </w:rPr>
        <w:t>дислокации дорожных знаков и разметки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669-670 км, 670-671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 автодороги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указанном участке 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дорожный </w:t>
      </w:r>
      <w:r>
        <w:rPr>
          <w:rFonts w:ascii="Times New Roman" w:eastAsia="Times New Roman" w:hAnsi="Times New Roman" w:cs="Times New Roman"/>
          <w:sz w:val="28"/>
          <w:szCs w:val="28"/>
        </w:rPr>
        <w:t>знак 3.20;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рапортом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ИДПС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</w:t>
      </w:r>
      <w:r>
        <w:rPr>
          <w:rFonts w:ascii="Times New Roman" w:eastAsia="Times New Roman" w:hAnsi="Times New Roman" w:cs="Times New Roman"/>
          <w:sz w:val="28"/>
          <w:szCs w:val="28"/>
        </w:rPr>
        <w:t>Госавтоинспекции ОМВД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06.02.2024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06 февраля 2024 года в 17 час. 49 мин. на 671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а/д Р-404 Тюмень –Ханты-Мансийск,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остановлен а/м </w:t>
      </w:r>
      <w:r>
        <w:rPr>
          <w:rStyle w:val="cat-CarMakeModelgrp-28rplc-5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9rplc-5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Ляш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совершении обгона движущегося впереди транспортного средства, выехал на полосу дороги, предназначенную для встречного движения в зоне действия дорожного знака 3.20 «Обгон запрещен», чем нарушил п.1.3 ПДД </w:t>
      </w:r>
      <w:r>
        <w:rPr>
          <w:rStyle w:val="cat-ExternalSystemDefinedgrp-38rplc-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Лаша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А.В, составлен административный материал по ч.4 ст.12.15 КоАП </w:t>
      </w:r>
      <w:r>
        <w:rPr>
          <w:rStyle w:val="cat-ExternalSystemDefinedgrp-38rplc-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водительского удостоверения на имя </w:t>
      </w:r>
      <w:r>
        <w:rPr>
          <w:rFonts w:ascii="Times New Roman" w:eastAsia="Times New Roman" w:hAnsi="Times New Roman" w:cs="Times New Roman"/>
          <w:sz w:val="28"/>
          <w:szCs w:val="28"/>
        </w:rPr>
        <w:t>Лаша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А.В., срок действия которого до 09.03.2032;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свидетельства о регистрации ТС </w:t>
      </w:r>
      <w:r>
        <w:rPr>
          <w:rStyle w:val="cat-CarMakeModelgrp-28rplc-6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9rplc-6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собственником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Гитиятуллин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Р.З.;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карточкой операции с ВУ, согласно которой срок действия водительского удостоверения </w:t>
      </w:r>
      <w:r>
        <w:rPr>
          <w:rFonts w:ascii="Times New Roman" w:eastAsia="Times New Roman" w:hAnsi="Times New Roman" w:cs="Times New Roman"/>
          <w:sz w:val="28"/>
          <w:szCs w:val="28"/>
        </w:rPr>
        <w:t>Ляша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09.03.2032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карточкой учета ТС </w:t>
      </w:r>
      <w:r>
        <w:rPr>
          <w:rStyle w:val="cat-CarMakeModelgrp-28rplc-65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9rplc-6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собственником которого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Гитиятуллин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реестром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правонарушений;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видеозаписью, из которой следует, что автомобиль </w:t>
      </w:r>
      <w:r>
        <w:rPr>
          <w:rStyle w:val="cat-CarMakeModelgrp-28rplc-6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9rplc-6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 обгон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попутно движущегося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зоне действия дорожного знака 3.20.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12.15 Кодекса Российской Федерации об административных правонарушениях, административным правонарушением признается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указанной статьи.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 части 4 статьи 12.15 Кодекса Российской Федерации об административных правонарушениях следует квалифицировать прямо запрещенные Правилами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1.3 ПДД </w:t>
      </w:r>
      <w:r>
        <w:rPr>
          <w:rStyle w:val="cat-ExternalSystemDefinedgrp-38rplc-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1.2 ПДД </w:t>
      </w:r>
      <w:r>
        <w:rPr>
          <w:rStyle w:val="cat-ExternalSystemDefinedgrp-38rplc-7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«Обгон» -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Дорожный знак 3.20 "Обгон запрещен" Приложения 1 к Правилам дорожного движения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Зона действия дорожного знака 3.20 "Обгон запрещен" распространяется от места его установки до ближайшего перекрестка за ним, а в населенных пунктах при отсутствии перекрестка - до конца населенного пункта. Действие знака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смыслу закона,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данное деяние, исходя из содержания частей 4,5 статьи 12.15 Кодекса Российской Федерации об административных правонарушениях во взаимосвязи с его статьями 2.1 и 2.2, подлежат лица, совершившие соответствующее деяние как умышленно, так и по неосторожности.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Постановлению Пленума Верховного Суда </w:t>
      </w:r>
      <w:r>
        <w:rPr>
          <w:rStyle w:val="cat-ExternalSystemDefinedgrp-38rplc-7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25.06.2019г. N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(п.15) действия водителя, связанные с нарушением требований ПДД </w:t>
      </w:r>
      <w:r>
        <w:rPr>
          <w:rStyle w:val="cat-ExternalSystemDefinedgrp-38rplc-7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</w:t>
      </w:r>
      <w:r>
        <w:rPr>
          <w:rStyle w:val="cat-ExternalSystemDefinedgrp-38rplc-7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которые квалифицируются по части 3 данной статьи), подлежат квалификации по части 4 статьи 12.15 КоАП </w:t>
      </w:r>
      <w:r>
        <w:rPr>
          <w:rStyle w:val="cat-ExternalSystemDefinedgrp-38rplc-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этом, действия лица, выехавшего на полосу, предназначенную для встречного движения, с соблюдением требований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ПДД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8rplc-7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однако завершившего данный маневр в нарушение указанных требований, также подлежат квалификации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4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</w:t>
      </w:r>
      <w:r>
        <w:rPr>
          <w:rStyle w:val="cat-ExternalSystemDefinedgrp-38rplc-7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(п.15).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Ляша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4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выезд в нарушение Правил дорожного движения на сторону дороги, предназначенную для встречного движения, за исключением случаев, предусмотренных ч. 3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ом, смягчающим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ответственность в соответствии со ст. 4.2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 в соответствии со ст. 4.3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вышеизложенное суд, при назначении наказания мировой судья считает возможным назначить наказание в виде административного штрафа.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29.9, 29.10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ПОСТАНОВИЛ: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Ляша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виновным в совершении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4 статьи 12.15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и назначить ему наказание в виде административного штрафа в размере 5000 рублей.</w:t>
      </w:r>
    </w:p>
    <w:p>
      <w:pPr>
        <w:widowControl w:val="0"/>
        <w:spacing w:before="0" w:after="0"/>
        <w:ind w:left="20" w:right="20"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2500 рублей.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должен быть уплачен не позднее шестидесяти дней со дня вступления постановления в законную силу на расчетный счет: 03100643000000018700 Получатель УФК по ХМАО-Югре (УМВД России по ХМАО-Югре) </w:t>
      </w:r>
      <w:r>
        <w:rPr>
          <w:rStyle w:val="cat-OrganizationNamegrp-26rplc-8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 Ханты-Мансийска БИК 007162163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ОКТМО </w:t>
      </w:r>
      <w:r>
        <w:rPr>
          <w:rFonts w:ascii="Times New Roman" w:eastAsia="Times New Roman" w:hAnsi="Times New Roman" w:cs="Times New Roman"/>
          <w:sz w:val="28"/>
          <w:szCs w:val="28"/>
        </w:rPr>
        <w:t>71818000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8601010390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КПП 860101001, Вид платежа КБК 18811601123010001140, к/с 40102810245370000007 УИН </w:t>
      </w:r>
      <w:r>
        <w:rPr>
          <w:rFonts w:ascii="Times New Roman" w:eastAsia="Times New Roman" w:hAnsi="Times New Roman" w:cs="Times New Roman"/>
          <w:sz w:val="28"/>
          <w:szCs w:val="28"/>
        </w:rPr>
        <w:t>18810486240730001350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- Югры в течение 10 дней со дня получения копии постановления, с подачей жалобы через мирового судью.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8">
    <w:name w:val="cat-ExternalSystemDefined grp-39 rplc-8"/>
    <w:basedOn w:val="DefaultParagraphFont"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UserDefinedgrp-40rplc-11">
    <w:name w:val="cat-UserDefined grp-40 rplc-11"/>
    <w:basedOn w:val="DefaultParagraphFont"/>
  </w:style>
  <w:style w:type="character" w:customStyle="1" w:styleId="cat-UserDefinedgrp-41rplc-12">
    <w:name w:val="cat-UserDefined grp-41 rplc-12"/>
    <w:basedOn w:val="DefaultParagraphFont"/>
  </w:style>
  <w:style w:type="character" w:customStyle="1" w:styleId="cat-UserDefinedgrp-30rplc-16">
    <w:name w:val="cat-UserDefined grp-30 rplc-16"/>
    <w:basedOn w:val="DefaultParagraphFont"/>
  </w:style>
  <w:style w:type="character" w:customStyle="1" w:styleId="cat-CarMakeModelgrp-28rplc-21">
    <w:name w:val="cat-CarMakeModel grp-28 rplc-21"/>
    <w:basedOn w:val="DefaultParagraphFont"/>
  </w:style>
  <w:style w:type="character" w:customStyle="1" w:styleId="cat-CarNumbergrp-29rplc-22">
    <w:name w:val="cat-CarNumber grp-29 rplc-22"/>
    <w:basedOn w:val="DefaultParagraphFont"/>
  </w:style>
  <w:style w:type="character" w:customStyle="1" w:styleId="cat-ExternalSystemDefinedgrp-38rplc-23">
    <w:name w:val="cat-ExternalSystemDefined grp-38 rplc-23"/>
    <w:basedOn w:val="DefaultParagraphFont"/>
  </w:style>
  <w:style w:type="character" w:customStyle="1" w:styleId="cat-UserDefinedgrp-42rplc-27">
    <w:name w:val="cat-UserDefined grp-42 rplc-27"/>
    <w:basedOn w:val="DefaultParagraphFont"/>
  </w:style>
  <w:style w:type="character" w:customStyle="1" w:styleId="cat-CarMakeModelgrp-28rplc-34">
    <w:name w:val="cat-CarMakeModel grp-28 rplc-34"/>
    <w:basedOn w:val="DefaultParagraphFont"/>
  </w:style>
  <w:style w:type="character" w:customStyle="1" w:styleId="cat-CarNumbergrp-29rplc-35">
    <w:name w:val="cat-CarNumber grp-29 rplc-35"/>
    <w:basedOn w:val="DefaultParagraphFont"/>
  </w:style>
  <w:style w:type="character" w:customStyle="1" w:styleId="cat-ExternalSystemDefinedgrp-38rplc-36">
    <w:name w:val="cat-ExternalSystemDefined grp-38 rplc-36"/>
    <w:basedOn w:val="DefaultParagraphFont"/>
  </w:style>
  <w:style w:type="character" w:customStyle="1" w:styleId="cat-ExternalSystemDefinedgrp-38rplc-38">
    <w:name w:val="cat-ExternalSystemDefined grp-38 rplc-38"/>
    <w:basedOn w:val="DefaultParagraphFont"/>
  </w:style>
  <w:style w:type="character" w:customStyle="1" w:styleId="cat-ExternalSystemDefinedgrp-38rplc-39">
    <w:name w:val="cat-ExternalSystemDefined grp-38 rplc-39"/>
    <w:basedOn w:val="DefaultParagraphFont"/>
  </w:style>
  <w:style w:type="character" w:customStyle="1" w:styleId="cat-CarMakeModelgrp-28rplc-52">
    <w:name w:val="cat-CarMakeModel grp-28 rplc-52"/>
    <w:basedOn w:val="DefaultParagraphFont"/>
  </w:style>
  <w:style w:type="character" w:customStyle="1" w:styleId="cat-CarNumbergrp-29rplc-53">
    <w:name w:val="cat-CarNumber grp-29 rplc-53"/>
    <w:basedOn w:val="DefaultParagraphFont"/>
  </w:style>
  <w:style w:type="character" w:customStyle="1" w:styleId="cat-ExternalSystemDefinedgrp-38rplc-55">
    <w:name w:val="cat-ExternalSystemDefined grp-38 rplc-55"/>
    <w:basedOn w:val="DefaultParagraphFont"/>
  </w:style>
  <w:style w:type="character" w:customStyle="1" w:styleId="cat-ExternalSystemDefinedgrp-38rplc-57">
    <w:name w:val="cat-ExternalSystemDefined grp-38 rplc-57"/>
    <w:basedOn w:val="DefaultParagraphFont"/>
  </w:style>
  <w:style w:type="character" w:customStyle="1" w:styleId="cat-CarMakeModelgrp-28rplc-60">
    <w:name w:val="cat-CarMakeModel grp-28 rplc-60"/>
    <w:basedOn w:val="DefaultParagraphFont"/>
  </w:style>
  <w:style w:type="character" w:customStyle="1" w:styleId="cat-CarNumbergrp-29rplc-61">
    <w:name w:val="cat-CarNumber grp-29 rplc-61"/>
    <w:basedOn w:val="DefaultParagraphFont"/>
  </w:style>
  <w:style w:type="character" w:customStyle="1" w:styleId="cat-CarMakeModelgrp-28rplc-65">
    <w:name w:val="cat-CarMakeModel grp-28 rplc-65"/>
    <w:basedOn w:val="DefaultParagraphFont"/>
  </w:style>
  <w:style w:type="character" w:customStyle="1" w:styleId="cat-CarNumbergrp-29rplc-66">
    <w:name w:val="cat-CarNumber grp-29 rplc-66"/>
    <w:basedOn w:val="DefaultParagraphFont"/>
  </w:style>
  <w:style w:type="character" w:customStyle="1" w:styleId="cat-CarMakeModelgrp-28rplc-68">
    <w:name w:val="cat-CarMakeModel grp-28 rplc-68"/>
    <w:basedOn w:val="DefaultParagraphFont"/>
  </w:style>
  <w:style w:type="character" w:customStyle="1" w:styleId="cat-CarNumbergrp-29rplc-69">
    <w:name w:val="cat-CarNumber grp-29 rplc-69"/>
    <w:basedOn w:val="DefaultParagraphFont"/>
  </w:style>
  <w:style w:type="character" w:customStyle="1" w:styleId="cat-ExternalSystemDefinedgrp-38rplc-70">
    <w:name w:val="cat-ExternalSystemDefined grp-38 rplc-70"/>
    <w:basedOn w:val="DefaultParagraphFont"/>
  </w:style>
  <w:style w:type="character" w:customStyle="1" w:styleId="cat-ExternalSystemDefinedgrp-38rplc-71">
    <w:name w:val="cat-ExternalSystemDefined grp-38 rplc-71"/>
    <w:basedOn w:val="DefaultParagraphFont"/>
  </w:style>
  <w:style w:type="character" w:customStyle="1" w:styleId="cat-ExternalSystemDefinedgrp-38rplc-72">
    <w:name w:val="cat-ExternalSystemDefined grp-38 rplc-72"/>
    <w:basedOn w:val="DefaultParagraphFont"/>
  </w:style>
  <w:style w:type="character" w:customStyle="1" w:styleId="cat-ExternalSystemDefinedgrp-38rplc-74">
    <w:name w:val="cat-ExternalSystemDefined grp-38 rplc-74"/>
    <w:basedOn w:val="DefaultParagraphFont"/>
  </w:style>
  <w:style w:type="character" w:customStyle="1" w:styleId="cat-ExternalSystemDefinedgrp-38rplc-75">
    <w:name w:val="cat-ExternalSystemDefined grp-38 rplc-75"/>
    <w:basedOn w:val="DefaultParagraphFont"/>
  </w:style>
  <w:style w:type="character" w:customStyle="1" w:styleId="cat-ExternalSystemDefinedgrp-38rplc-76">
    <w:name w:val="cat-ExternalSystemDefined grp-38 rplc-76"/>
    <w:basedOn w:val="DefaultParagraphFont"/>
  </w:style>
  <w:style w:type="character" w:customStyle="1" w:styleId="cat-ExternalSystemDefinedgrp-38rplc-77">
    <w:name w:val="cat-ExternalSystemDefined grp-38 rplc-77"/>
    <w:basedOn w:val="DefaultParagraphFont"/>
  </w:style>
  <w:style w:type="character" w:customStyle="1" w:styleId="cat-ExternalSystemDefinedgrp-38rplc-78">
    <w:name w:val="cat-ExternalSystemDefined grp-38 rplc-78"/>
    <w:basedOn w:val="DefaultParagraphFont"/>
  </w:style>
  <w:style w:type="character" w:customStyle="1" w:styleId="cat-OrganizationNamegrp-26rplc-84">
    <w:name w:val="cat-OrganizationName grp-26 rplc-84"/>
    <w:basedOn w:val="DefaultParagraphFont"/>
  </w:style>
  <w:style w:type="character" w:customStyle="1" w:styleId="cat-UserDefinedgrp-43rplc-92">
    <w:name w:val="cat-UserDefined grp-43 rplc-92"/>
    <w:basedOn w:val="DefaultParagraphFont"/>
  </w:style>
  <w:style w:type="character" w:customStyle="1" w:styleId="cat-UserDefinedgrp-44rplc-94">
    <w:name w:val="cat-UserDefined grp-44 rplc-9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015&amp;field=134&amp;date=24.07.2022" TargetMode="External" /><Relationship Id="rId5" Type="http://schemas.openxmlformats.org/officeDocument/2006/relationships/hyperlink" Target="https://login.consultant.ru/link/?req=doc&amp;demo=2&amp;base=LAW&amp;n=422113&amp;dst=2255&amp;field=134&amp;date=24.07.2022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